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7968" w14:textId="5CC54F85" w:rsidR="00537144" w:rsidRPr="00CA2CC0" w:rsidRDefault="00537144" w:rsidP="00537144">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540F63" w:rsidRPr="00540F63">
        <w:rPr>
          <w:rFonts w:cs="Arial"/>
          <w:sz w:val="24"/>
          <w:szCs w:val="24"/>
        </w:rPr>
        <w:t>R4-2300101</w:t>
      </w:r>
    </w:p>
    <w:p w14:paraId="5EC058C8" w14:textId="77777777" w:rsidR="00537144" w:rsidRPr="00E13633" w:rsidRDefault="00537144" w:rsidP="0053714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141ACDDF" w14:textId="77777777" w:rsidR="00537144" w:rsidRDefault="00537144" w:rsidP="00537144">
      <w:pPr>
        <w:pStyle w:val="Header"/>
        <w:rPr>
          <w:b w:val="0"/>
          <w:sz w:val="24"/>
        </w:rPr>
      </w:pPr>
    </w:p>
    <w:p w14:paraId="635895FD" w14:textId="77777777" w:rsidR="00537144" w:rsidRPr="00E461DD" w:rsidRDefault="00537144" w:rsidP="00537144">
      <w:pPr>
        <w:tabs>
          <w:tab w:val="left" w:pos="1985"/>
        </w:tabs>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587EEAAB" w14:textId="6770497F" w:rsidR="00537144" w:rsidRPr="00E461DD" w:rsidRDefault="00537144" w:rsidP="00537144">
      <w:pPr>
        <w:tabs>
          <w:tab w:val="left" w:pos="1985"/>
        </w:tabs>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Pr="00537144">
        <w:rPr>
          <w:rFonts w:ascii="Arial" w:hAnsi="Arial"/>
          <w:bCs/>
          <w:sz w:val="24"/>
          <w:lang w:val="en-US"/>
        </w:rPr>
        <w:t>Overal</w:t>
      </w:r>
      <w:r w:rsidR="00693C92">
        <w:rPr>
          <w:rFonts w:ascii="Arial" w:hAnsi="Arial"/>
          <w:bCs/>
          <w:sz w:val="24"/>
          <w:lang w:val="en-US"/>
        </w:rPr>
        <w:t>l</w:t>
      </w:r>
      <w:r w:rsidRPr="00537144">
        <w:rPr>
          <w:rFonts w:ascii="Arial" w:hAnsi="Arial"/>
          <w:bCs/>
          <w:sz w:val="24"/>
          <w:lang w:val="en-US"/>
        </w:rPr>
        <w:t xml:space="preserve"> procedure to enable dual TCI based PDSCH reception</w:t>
      </w:r>
    </w:p>
    <w:p w14:paraId="17FD8135" w14:textId="33379FB6" w:rsidR="00537144" w:rsidRPr="00E461DD" w:rsidRDefault="00537144" w:rsidP="00537144">
      <w:pPr>
        <w:tabs>
          <w:tab w:val="left" w:pos="1985"/>
        </w:tabs>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Pr="00537144">
        <w:rPr>
          <w:rFonts w:ascii="Arial" w:hAnsi="Arial"/>
          <w:bCs/>
          <w:sz w:val="24"/>
          <w:lang w:val="en-US"/>
        </w:rPr>
        <w:t>9.8.3.1</w:t>
      </w:r>
    </w:p>
    <w:p w14:paraId="4136EB62" w14:textId="3B3BD59A" w:rsidR="00410DF2" w:rsidRPr="00E75BD8" w:rsidRDefault="00410DF2" w:rsidP="00410DF2">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sidR="00F94AE0">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564D5A7A"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7D7D6F">
        <w:rPr>
          <w:lang w:val="en-US"/>
        </w:rPr>
        <w:t>the following aspects:</w:t>
      </w:r>
    </w:p>
    <w:p w14:paraId="4508A819" w14:textId="77777777" w:rsidR="007D7D6F" w:rsidRPr="007D7D6F" w:rsidRDefault="007D7D6F" w:rsidP="007D7D6F">
      <w:pPr>
        <w:pStyle w:val="ListParagraph"/>
        <w:numPr>
          <w:ilvl w:val="0"/>
          <w:numId w:val="46"/>
        </w:numPr>
        <w:rPr>
          <w:lang w:val="en-US"/>
        </w:rPr>
      </w:pPr>
      <w:r w:rsidRPr="007D7D6F">
        <w:rPr>
          <w:lang w:val="en-US"/>
        </w:rPr>
        <w:t>Intra-cell vs. inter-cell mTRP</w:t>
      </w:r>
    </w:p>
    <w:p w14:paraId="56FA2B23" w14:textId="77777777" w:rsidR="007D7D6F" w:rsidRPr="007D7D6F" w:rsidRDefault="007D7D6F" w:rsidP="007D7D6F">
      <w:pPr>
        <w:pStyle w:val="ListParagraph"/>
        <w:numPr>
          <w:ilvl w:val="0"/>
          <w:numId w:val="46"/>
        </w:numPr>
        <w:rPr>
          <w:lang w:val="en-US"/>
        </w:rPr>
      </w:pPr>
      <w:r w:rsidRPr="007D7D6F">
        <w:rPr>
          <w:lang w:val="en-US"/>
        </w:rPr>
        <w:t>Conditions of UE multiple Rx-beam based DL reception</w:t>
      </w:r>
    </w:p>
    <w:p w14:paraId="7B733F33" w14:textId="3296A277" w:rsidR="00CC52A1" w:rsidRDefault="00BF41B5" w:rsidP="00AD4B20">
      <w:pPr>
        <w:pStyle w:val="Heading1"/>
        <w:rPr>
          <w:lang w:val="en-US"/>
        </w:rPr>
      </w:pPr>
      <w:r>
        <w:rPr>
          <w:lang w:val="en-US"/>
        </w:rPr>
        <w:t>Discussion</w:t>
      </w:r>
    </w:p>
    <w:p w14:paraId="24B1E5DD" w14:textId="77777777" w:rsidR="006F1BBE" w:rsidRPr="00493472" w:rsidRDefault="006F1BBE" w:rsidP="006F1BBE">
      <w:pPr>
        <w:rPr>
          <w:b/>
          <w:bCs/>
          <w:u w:val="single"/>
          <w:lang w:val="en-US"/>
        </w:rPr>
      </w:pPr>
      <w:r w:rsidRPr="00493472">
        <w:rPr>
          <w:b/>
          <w:bCs/>
          <w:u w:val="single"/>
          <w:lang w:val="en-US"/>
        </w:rPr>
        <w:t>Intra-cell vs. inter-cell mTRP</w:t>
      </w:r>
    </w:p>
    <w:p w14:paraId="206AE4A9" w14:textId="20C45404" w:rsidR="009552F0" w:rsidRDefault="009552F0" w:rsidP="006F1BBE">
      <w:pPr>
        <w:rPr>
          <w:lang w:val="en-US"/>
        </w:rPr>
      </w:pPr>
      <w:r>
        <w:rPr>
          <w:lang w:val="en-US"/>
        </w:rPr>
        <w:t>According to the objective of WI, RAN4 RRM is tasked to define requirements necessary to enable simultaneous DL receptions QCL’ed with different reference signals in terms of QCL-TypeD, which can only be supported in intra-cell scenario, hence, inter-cell mTRP is clearly not in the scope of the item.</w:t>
      </w:r>
    </w:p>
    <w:p w14:paraId="26D7E456" w14:textId="77777777" w:rsidR="009552F0" w:rsidRDefault="009552F0" w:rsidP="006F1BBE">
      <w:pPr>
        <w:rPr>
          <w:lang w:val="en-US"/>
        </w:rPr>
      </w:pPr>
    </w:p>
    <w:p w14:paraId="717E88A7" w14:textId="0AC78D7F" w:rsidR="009552F0" w:rsidRPr="009552F0" w:rsidRDefault="009552F0" w:rsidP="006F1BBE">
      <w:pPr>
        <w:rPr>
          <w:b/>
          <w:bCs/>
          <w:lang w:val="en-US"/>
        </w:rPr>
      </w:pPr>
      <w:r>
        <w:rPr>
          <w:b/>
          <w:bCs/>
        </w:rPr>
        <w:t xml:space="preserve">RRM Core Objective in </w:t>
      </w:r>
      <w:r w:rsidRPr="009552F0">
        <w:rPr>
          <w:b/>
          <w:bCs/>
        </w:rPr>
        <w:t>RP-223527, Requirement for NR frequency range 2 (FR2) multi-Rx chain DL reception</w:t>
      </w:r>
    </w:p>
    <w:p w14:paraId="1CF77C1D" w14:textId="77777777" w:rsidR="009552F0" w:rsidRPr="009552F0" w:rsidRDefault="009552F0" w:rsidP="009552F0">
      <w:pPr>
        <w:numPr>
          <w:ilvl w:val="0"/>
          <w:numId w:val="45"/>
        </w:numPr>
        <w:tabs>
          <w:tab w:val="clear" w:pos="360"/>
          <w:tab w:val="num" w:pos="720"/>
        </w:tabs>
        <w:rPr>
          <w:lang w:val="en-US"/>
        </w:rPr>
      </w:pPr>
      <w:r w:rsidRPr="009552F0">
        <w:rPr>
          <w:lang w:val="en-US"/>
        </w:rPr>
        <w:t xml:space="preserve">Introduce </w:t>
      </w:r>
      <w:r w:rsidRPr="009552F0">
        <w:rPr>
          <w:highlight w:val="yellow"/>
          <w:lang w:val="en-US"/>
        </w:rPr>
        <w:t xml:space="preserve">necessary requirement(s) </w:t>
      </w:r>
      <w:r w:rsidRPr="009552F0">
        <w:rPr>
          <w:lang w:val="en-US"/>
        </w:rPr>
        <w:t xml:space="preserve">for enhanced FR2-1 UEs with </w:t>
      </w:r>
      <w:r w:rsidRPr="009552F0">
        <w:rPr>
          <w:highlight w:val="yellow"/>
          <w:lang w:val="en-US"/>
        </w:rPr>
        <w:t>simultaneous DL reception</w:t>
      </w:r>
      <w:r w:rsidRPr="009552F0">
        <w:rPr>
          <w:lang w:val="en-US"/>
        </w:rPr>
        <w:t xml:space="preserve"> from different directions </w:t>
      </w:r>
      <w:r w:rsidRPr="009552F0">
        <w:rPr>
          <w:highlight w:val="yellow"/>
          <w:lang w:val="en-US"/>
        </w:rPr>
        <w:t>with different QCL TypeD RSs</w:t>
      </w:r>
      <w:r w:rsidRPr="009552F0">
        <w:rPr>
          <w:lang w:val="en-US"/>
        </w:rPr>
        <w:t xml:space="preserve"> on a single component carrier</w:t>
      </w:r>
    </w:p>
    <w:p w14:paraId="5D6116BC" w14:textId="77777777" w:rsidR="009552F0" w:rsidRPr="009552F0" w:rsidRDefault="009552F0" w:rsidP="009552F0">
      <w:pPr>
        <w:numPr>
          <w:ilvl w:val="1"/>
          <w:numId w:val="45"/>
        </w:numPr>
        <w:tabs>
          <w:tab w:val="clear" w:pos="1080"/>
        </w:tabs>
        <w:rPr>
          <w:lang w:val="en-US"/>
        </w:rPr>
      </w:pPr>
      <w:r w:rsidRPr="009552F0">
        <w:rPr>
          <w:lang w:val="en-US"/>
        </w:rPr>
        <w:t>Enhanced RRM requirements:</w:t>
      </w:r>
    </w:p>
    <w:p w14:paraId="70B21EF5" w14:textId="77777777" w:rsidR="009552F0" w:rsidRPr="009552F0" w:rsidRDefault="009552F0" w:rsidP="009552F0">
      <w:pPr>
        <w:numPr>
          <w:ilvl w:val="2"/>
          <w:numId w:val="45"/>
        </w:numPr>
        <w:tabs>
          <w:tab w:val="clear" w:pos="1800"/>
          <w:tab w:val="num" w:pos="2160"/>
        </w:tabs>
        <w:rPr>
          <w:lang w:val="en-US"/>
        </w:rPr>
      </w:pPr>
      <w:r w:rsidRPr="009552F0">
        <w:rPr>
          <w:lang w:val="en-US"/>
        </w:rPr>
        <w:t>The following requirements should be studied and specified if necessary:</w:t>
      </w:r>
    </w:p>
    <w:p w14:paraId="7C5A9616" w14:textId="77777777" w:rsidR="009552F0" w:rsidRPr="009552F0" w:rsidRDefault="009552F0" w:rsidP="009552F0">
      <w:pPr>
        <w:numPr>
          <w:ilvl w:val="3"/>
          <w:numId w:val="45"/>
        </w:numPr>
        <w:tabs>
          <w:tab w:val="clear" w:pos="2520"/>
          <w:tab w:val="num" w:pos="2880"/>
        </w:tabs>
        <w:rPr>
          <w:lang w:val="en-US"/>
        </w:rPr>
      </w:pPr>
      <w:r w:rsidRPr="009552F0">
        <w:rPr>
          <w:lang w:val="en-US"/>
        </w:rPr>
        <w:t>L1-RSRP measurement delay</w:t>
      </w:r>
    </w:p>
    <w:p w14:paraId="3A3CB836" w14:textId="77777777" w:rsidR="009552F0" w:rsidRPr="009552F0" w:rsidRDefault="009552F0" w:rsidP="009552F0">
      <w:pPr>
        <w:numPr>
          <w:ilvl w:val="3"/>
          <w:numId w:val="45"/>
        </w:numPr>
        <w:tabs>
          <w:tab w:val="clear" w:pos="2520"/>
          <w:tab w:val="num" w:pos="2880"/>
        </w:tabs>
        <w:rPr>
          <w:lang w:val="en-US"/>
        </w:rPr>
      </w:pPr>
      <w:r w:rsidRPr="009552F0">
        <w:rPr>
          <w:lang w:val="en-US"/>
        </w:rPr>
        <w:t>L3 measurement delay (both cell detection delay and measurement period can be considered)</w:t>
      </w:r>
    </w:p>
    <w:p w14:paraId="4673D0F3" w14:textId="77777777" w:rsidR="009552F0" w:rsidRPr="009552F0" w:rsidRDefault="009552F0" w:rsidP="009552F0">
      <w:pPr>
        <w:numPr>
          <w:ilvl w:val="4"/>
          <w:numId w:val="45"/>
        </w:numPr>
        <w:tabs>
          <w:tab w:val="clear" w:pos="3240"/>
          <w:tab w:val="num" w:pos="3600"/>
        </w:tabs>
        <w:rPr>
          <w:lang w:val="en-US"/>
        </w:rPr>
      </w:pPr>
      <w:r w:rsidRPr="009552F0">
        <w:rPr>
          <w:lang w:val="en-US"/>
        </w:rPr>
        <w:t>The starting point is the enhancements related to L1-RSRP measurement enhancements</w:t>
      </w:r>
    </w:p>
    <w:p w14:paraId="6423D23E" w14:textId="77777777" w:rsidR="009552F0" w:rsidRPr="009552F0" w:rsidRDefault="009552F0" w:rsidP="009552F0">
      <w:pPr>
        <w:numPr>
          <w:ilvl w:val="3"/>
          <w:numId w:val="45"/>
        </w:numPr>
        <w:tabs>
          <w:tab w:val="clear" w:pos="2520"/>
          <w:tab w:val="num" w:pos="2880"/>
        </w:tabs>
        <w:rPr>
          <w:lang w:val="en-US"/>
        </w:rPr>
      </w:pPr>
      <w:r w:rsidRPr="009552F0">
        <w:rPr>
          <w:lang w:val="en-US"/>
        </w:rPr>
        <w:t>RLM and BFD/CBD requirements</w:t>
      </w:r>
    </w:p>
    <w:p w14:paraId="4D4577CE" w14:textId="77777777" w:rsidR="009552F0" w:rsidRPr="009552F0" w:rsidRDefault="009552F0" w:rsidP="009552F0">
      <w:pPr>
        <w:numPr>
          <w:ilvl w:val="3"/>
          <w:numId w:val="45"/>
        </w:numPr>
        <w:tabs>
          <w:tab w:val="clear" w:pos="2520"/>
          <w:tab w:val="num" w:pos="2880"/>
        </w:tabs>
        <w:rPr>
          <w:lang w:val="en-US"/>
        </w:rPr>
      </w:pPr>
      <w:r w:rsidRPr="009552F0">
        <w:rPr>
          <w:lang w:val="en-US"/>
        </w:rPr>
        <w:t>Scheduling/measurement restrictions</w:t>
      </w:r>
    </w:p>
    <w:p w14:paraId="7D11E729" w14:textId="77777777" w:rsidR="009552F0" w:rsidRPr="009552F0" w:rsidRDefault="009552F0" w:rsidP="009552F0">
      <w:pPr>
        <w:numPr>
          <w:ilvl w:val="3"/>
          <w:numId w:val="45"/>
        </w:numPr>
        <w:tabs>
          <w:tab w:val="clear" w:pos="2520"/>
          <w:tab w:val="num" w:pos="2880"/>
        </w:tabs>
        <w:rPr>
          <w:lang w:val="en-US"/>
        </w:rPr>
      </w:pPr>
      <w:r w:rsidRPr="009552F0">
        <w:rPr>
          <w:lang w:val="en-US"/>
        </w:rPr>
        <w:t>TCI state switching delay with dual TCI</w:t>
      </w:r>
    </w:p>
    <w:p w14:paraId="32DDFB1E" w14:textId="77777777" w:rsidR="009552F0" w:rsidRPr="009552F0" w:rsidRDefault="009552F0" w:rsidP="009552F0">
      <w:pPr>
        <w:numPr>
          <w:ilvl w:val="3"/>
          <w:numId w:val="45"/>
        </w:numPr>
        <w:tabs>
          <w:tab w:val="clear" w:pos="2520"/>
          <w:tab w:val="num" w:pos="2880"/>
        </w:tabs>
        <w:rPr>
          <w:lang w:val="en-US"/>
        </w:rPr>
      </w:pPr>
      <w:r w:rsidRPr="009552F0">
        <w:rPr>
          <w:lang w:val="en-US"/>
        </w:rPr>
        <w:t>Receive timing difference between different directions (different QCL Type D RSs)</w:t>
      </w:r>
    </w:p>
    <w:p w14:paraId="374D9A66" w14:textId="77777777" w:rsidR="009552F0" w:rsidRDefault="009552F0" w:rsidP="006F1BBE">
      <w:pPr>
        <w:rPr>
          <w:lang w:val="en-US"/>
        </w:rPr>
      </w:pPr>
    </w:p>
    <w:p w14:paraId="411016CE" w14:textId="1929AD3B" w:rsidR="003D6054" w:rsidRDefault="003D6054" w:rsidP="003D6054">
      <w:pPr>
        <w:jc w:val="both"/>
        <w:rPr>
          <w:b/>
          <w:bCs/>
        </w:rPr>
      </w:pPr>
      <w:r w:rsidRPr="006B0359">
        <w:rPr>
          <w:b/>
          <w:bCs/>
        </w:rPr>
        <w:t xml:space="preserve">Proposal 1: </w:t>
      </w:r>
      <w:r w:rsidRPr="003D6054">
        <w:rPr>
          <w:b/>
          <w:bCs/>
        </w:rPr>
        <w:t>RAN4 to not consider inter-cell mTRP scenario for setting the UE RRM requirement.</w:t>
      </w:r>
    </w:p>
    <w:p w14:paraId="5700497D" w14:textId="08BAABD1" w:rsidR="003D6054" w:rsidRDefault="003D6054" w:rsidP="006F1BBE"/>
    <w:p w14:paraId="416E0330" w14:textId="3C5B96C5" w:rsidR="00493472" w:rsidRPr="00493472" w:rsidRDefault="00493472" w:rsidP="00493472">
      <w:pPr>
        <w:rPr>
          <w:b/>
          <w:bCs/>
          <w:u w:val="single"/>
          <w:lang w:val="en-US"/>
        </w:rPr>
      </w:pPr>
      <w:r>
        <w:rPr>
          <w:b/>
          <w:bCs/>
          <w:u w:val="single"/>
          <w:lang w:val="en-US"/>
        </w:rPr>
        <w:t xml:space="preserve">Conditions </w:t>
      </w:r>
      <w:r w:rsidR="002211EE">
        <w:rPr>
          <w:b/>
          <w:bCs/>
          <w:u w:val="single"/>
          <w:lang w:val="en-US"/>
        </w:rPr>
        <w:t xml:space="preserve">of UE multiple Rx-beam based </w:t>
      </w:r>
      <w:r w:rsidR="00DB3AB2">
        <w:rPr>
          <w:b/>
          <w:bCs/>
          <w:u w:val="single"/>
          <w:lang w:val="en-US"/>
        </w:rPr>
        <w:t>DL</w:t>
      </w:r>
      <w:r w:rsidR="002211EE">
        <w:rPr>
          <w:b/>
          <w:bCs/>
          <w:u w:val="single"/>
          <w:lang w:val="en-US"/>
        </w:rPr>
        <w:t xml:space="preserve"> reception</w:t>
      </w:r>
    </w:p>
    <w:p w14:paraId="7C5E1C3B" w14:textId="6C12A927" w:rsidR="00493472" w:rsidRDefault="001A4A4F" w:rsidP="006F1BBE">
      <w:pPr>
        <w:rPr>
          <w:lang w:val="en-US"/>
        </w:rPr>
      </w:pPr>
      <w:r>
        <w:rPr>
          <w:lang w:val="en-US"/>
        </w:rPr>
        <w:t xml:space="preserve">There should be no question that UE capable of dual simultaneous beams will not always form dual beams. Depending on radio channel condition and NW configurations, UE may opportunistically or statically enable dual Rx beams. For </w:t>
      </w:r>
      <w:r>
        <w:rPr>
          <w:lang w:val="en-US"/>
        </w:rPr>
        <w:lastRenderedPageBreak/>
        <w:t>instance, there are some specific NW configurations from which UE can tell it is already in or in the course of dual-Rx based mTRP mode, e.g. configur</w:t>
      </w:r>
      <w:r w:rsidR="006B7AEF">
        <w:rPr>
          <w:lang w:val="en-US"/>
        </w:rPr>
        <w:t>ations of</w:t>
      </w:r>
      <w:r>
        <w:rPr>
          <w:lang w:val="en-US"/>
        </w:rPr>
        <w:t xml:space="preserve"> TCI list for PDSCH reception</w:t>
      </w:r>
      <w:r w:rsidR="006B7AEF">
        <w:rPr>
          <w:lang w:val="en-US"/>
        </w:rPr>
        <w:t>, CORESET, Group-based L1-RSRP,</w:t>
      </w:r>
      <w:r>
        <w:rPr>
          <w:lang w:val="en-US"/>
        </w:rPr>
        <w:t xml:space="preserve"> </w:t>
      </w:r>
      <w:r w:rsidR="006B7AEF">
        <w:rPr>
          <w:lang w:val="en-US"/>
        </w:rPr>
        <w:t>etc</w:t>
      </w:r>
      <w:r>
        <w:rPr>
          <w:lang w:val="en-US"/>
        </w:rPr>
        <w:t>.</w:t>
      </w:r>
      <w:r w:rsidR="009A2EB5">
        <w:rPr>
          <w:lang w:val="en-US"/>
        </w:rPr>
        <w:t xml:space="preserve"> If NW configurations and radio channel condition are such that UE does not expect an mTRP operation mode anytime soon, RAN4 minimum requirements should not force the UE to enable dual Rx beams all the time.</w:t>
      </w:r>
    </w:p>
    <w:p w14:paraId="1CFC555C" w14:textId="77777777" w:rsidR="006B7AEF" w:rsidRPr="00493472" w:rsidRDefault="006B7AEF" w:rsidP="006F1BBE">
      <w:pPr>
        <w:rPr>
          <w:lang w:val="en-US"/>
        </w:rPr>
      </w:pPr>
    </w:p>
    <w:p w14:paraId="0DE624F4" w14:textId="686B67B2" w:rsidR="00920B4E" w:rsidRDefault="00920B4E" w:rsidP="00920B4E">
      <w:pPr>
        <w:jc w:val="both"/>
        <w:rPr>
          <w:b/>
          <w:bCs/>
        </w:rPr>
      </w:pPr>
      <w:r w:rsidRPr="006B0359">
        <w:rPr>
          <w:b/>
          <w:bCs/>
        </w:rPr>
        <w:t xml:space="preserve">Proposal </w:t>
      </w:r>
      <w:r>
        <w:rPr>
          <w:b/>
          <w:bCs/>
        </w:rPr>
        <w:t>2</w:t>
      </w:r>
      <w:r w:rsidRPr="006B0359">
        <w:rPr>
          <w:b/>
          <w:bCs/>
        </w:rPr>
        <w:t xml:space="preserve">: </w:t>
      </w:r>
      <w:r w:rsidRPr="003D6054">
        <w:rPr>
          <w:b/>
          <w:bCs/>
        </w:rPr>
        <w:t xml:space="preserve">RAN4 to not </w:t>
      </w:r>
      <w:r w:rsidR="00EC094B">
        <w:rPr>
          <w:b/>
          <w:bCs/>
        </w:rPr>
        <w:t>assume UE receives signals/channels from mTRP using simultaneously formed multiple Rx beams when any of the following conditions are n</w:t>
      </w:r>
      <w:r w:rsidR="00F620F2">
        <w:rPr>
          <w:b/>
          <w:bCs/>
        </w:rPr>
        <w:t>ot met:</w:t>
      </w:r>
    </w:p>
    <w:p w14:paraId="03F6D93F" w14:textId="77777777" w:rsidR="000A35A5" w:rsidRPr="00F620F2" w:rsidRDefault="000A35A5" w:rsidP="000A35A5">
      <w:pPr>
        <w:pStyle w:val="ListParagraph"/>
        <w:numPr>
          <w:ilvl w:val="0"/>
          <w:numId w:val="44"/>
        </w:numPr>
        <w:rPr>
          <w:b/>
          <w:bCs/>
          <w:lang w:val="en-US"/>
        </w:rPr>
      </w:pPr>
      <w:r w:rsidRPr="00F620F2">
        <w:rPr>
          <w:b/>
          <w:bCs/>
          <w:lang w:val="en-US"/>
        </w:rPr>
        <w:t>UE is configured with active TCI states from two TRPs, and the association between the TCI states and the TRPs is explicitly known to the UE, i.e.</w:t>
      </w:r>
    </w:p>
    <w:p w14:paraId="2FF8F0D2" w14:textId="77777777" w:rsidR="000A35A5" w:rsidRPr="00F620F2" w:rsidRDefault="000A35A5" w:rsidP="000A35A5">
      <w:pPr>
        <w:pStyle w:val="ListParagraph"/>
        <w:numPr>
          <w:ilvl w:val="1"/>
          <w:numId w:val="44"/>
        </w:numPr>
        <w:rPr>
          <w:b/>
          <w:bCs/>
          <w:lang w:val="en-US"/>
        </w:rPr>
      </w:pPr>
      <w:r w:rsidRPr="00F620F2">
        <w:rPr>
          <w:b/>
          <w:bCs/>
          <w:lang w:val="en-US"/>
        </w:rPr>
        <w:t>(single DCI based mTRP) at least one of the codepoints in the active TCI list for PDSCH includes two reference resources for qcl-TypeD from respective TRPs</w:t>
      </w:r>
    </w:p>
    <w:p w14:paraId="7C3B8532" w14:textId="77777777" w:rsidR="000A35A5" w:rsidRPr="00F620F2" w:rsidRDefault="000A35A5" w:rsidP="000A35A5">
      <w:pPr>
        <w:pStyle w:val="ListParagraph"/>
        <w:numPr>
          <w:ilvl w:val="1"/>
          <w:numId w:val="44"/>
        </w:numPr>
        <w:rPr>
          <w:b/>
          <w:bCs/>
          <w:lang w:val="en-US"/>
        </w:rPr>
      </w:pPr>
      <w:r w:rsidRPr="00F620F2">
        <w:rPr>
          <w:b/>
          <w:bCs/>
          <w:lang w:val="en-US"/>
        </w:rPr>
        <w:t>(multi DCI based mTRP) two CORESETs QCL’ed with two reference resources for qcl-TypeD are configured</w:t>
      </w:r>
    </w:p>
    <w:p w14:paraId="1271D85C" w14:textId="633AF521" w:rsidR="000A35A5" w:rsidRPr="00F620F2" w:rsidRDefault="000A35A5" w:rsidP="000A35A5">
      <w:pPr>
        <w:pStyle w:val="ListParagraph"/>
        <w:numPr>
          <w:ilvl w:val="1"/>
          <w:numId w:val="44"/>
        </w:numPr>
        <w:rPr>
          <w:b/>
          <w:bCs/>
          <w:lang w:val="en-US"/>
        </w:rPr>
      </w:pPr>
      <w:r w:rsidRPr="00F620F2">
        <w:rPr>
          <w:b/>
          <w:bCs/>
          <w:lang w:val="en-US"/>
        </w:rPr>
        <w:t>SNR &gt; XdB</w:t>
      </w:r>
      <w:r w:rsidR="0063317B">
        <w:rPr>
          <w:b/>
          <w:bCs/>
          <w:lang w:val="en-US"/>
        </w:rPr>
        <w:t xml:space="preserve"> from each TRP</w:t>
      </w:r>
      <w:r w:rsidRPr="00F620F2">
        <w:rPr>
          <w:b/>
          <w:bCs/>
          <w:lang w:val="en-US"/>
        </w:rPr>
        <w:t xml:space="preserve">, </w:t>
      </w:r>
      <w:r w:rsidR="001A4A4F">
        <w:rPr>
          <w:b/>
          <w:bCs/>
          <w:lang w:val="en-US"/>
        </w:rPr>
        <w:t xml:space="preserve">e.g. SNR regime </w:t>
      </w:r>
      <w:r w:rsidRPr="00F620F2">
        <w:rPr>
          <w:b/>
          <w:bCs/>
          <w:lang w:val="en-US"/>
        </w:rPr>
        <w:t>where rank &gt; 2 is expected</w:t>
      </w:r>
    </w:p>
    <w:p w14:paraId="34860B61" w14:textId="0DE87AEE" w:rsidR="000A35A5" w:rsidRDefault="000A35A5" w:rsidP="000A35A5">
      <w:pPr>
        <w:pStyle w:val="ListParagraph"/>
        <w:numPr>
          <w:ilvl w:val="0"/>
          <w:numId w:val="44"/>
        </w:numPr>
        <w:rPr>
          <w:b/>
          <w:bCs/>
          <w:lang w:val="en-US"/>
        </w:rPr>
      </w:pPr>
      <w:r w:rsidRPr="00F620F2">
        <w:rPr>
          <w:b/>
          <w:bCs/>
          <w:lang w:val="en-US"/>
        </w:rPr>
        <w:t>Group-based L1-RSRP measurement is configured based on L3 measurements for the same measurement resources</w:t>
      </w:r>
    </w:p>
    <w:p w14:paraId="2AC0A872" w14:textId="18750F9F" w:rsidR="0094790F" w:rsidRPr="00F620F2" w:rsidRDefault="0094790F" w:rsidP="000A35A5">
      <w:pPr>
        <w:pStyle w:val="ListParagraph"/>
        <w:numPr>
          <w:ilvl w:val="0"/>
          <w:numId w:val="44"/>
        </w:numPr>
        <w:rPr>
          <w:b/>
          <w:bCs/>
          <w:lang w:val="en-US"/>
        </w:rPr>
      </w:pPr>
      <w:r>
        <w:rPr>
          <w:b/>
          <w:bCs/>
          <w:lang w:val="en-US"/>
        </w:rPr>
        <w:t xml:space="preserve">Note that the number of UE cell search engines </w:t>
      </w:r>
      <w:r w:rsidR="00A42AAA">
        <w:rPr>
          <w:b/>
          <w:bCs/>
          <w:lang w:val="en-US"/>
        </w:rPr>
        <w:t>should remain the sa</w:t>
      </w:r>
      <w:r w:rsidR="008D4C06">
        <w:rPr>
          <w:b/>
          <w:bCs/>
          <w:lang w:val="en-US"/>
        </w:rPr>
        <w:t>me, irrespective of the number of active UE Rx beams</w:t>
      </w:r>
      <w:r w:rsidR="00A42AAA">
        <w:rPr>
          <w:b/>
          <w:bCs/>
          <w:lang w:val="en-US"/>
        </w:rPr>
        <w:t>.</w:t>
      </w:r>
    </w:p>
    <w:p w14:paraId="0936945B" w14:textId="77777777" w:rsidR="00920B4E" w:rsidRPr="000A35A5" w:rsidRDefault="00920B4E" w:rsidP="006F1BBE">
      <w:pPr>
        <w:rPr>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1A81FE11" w14:textId="77777777" w:rsidR="000F6BD9" w:rsidRPr="00493472" w:rsidRDefault="000F6BD9" w:rsidP="000F6BD9">
      <w:pPr>
        <w:rPr>
          <w:b/>
          <w:bCs/>
          <w:u w:val="single"/>
          <w:lang w:val="en-US"/>
        </w:rPr>
      </w:pPr>
      <w:r w:rsidRPr="00493472">
        <w:rPr>
          <w:b/>
          <w:bCs/>
          <w:u w:val="single"/>
          <w:lang w:val="en-US"/>
        </w:rPr>
        <w:t>Intra-cell vs. inter-cell mTRP</w:t>
      </w:r>
    </w:p>
    <w:p w14:paraId="590BB6D9" w14:textId="77777777" w:rsidR="00B97D6E" w:rsidRDefault="00B97D6E" w:rsidP="00B97D6E">
      <w:pPr>
        <w:jc w:val="both"/>
        <w:rPr>
          <w:b/>
          <w:bCs/>
        </w:rPr>
      </w:pPr>
      <w:r w:rsidRPr="006B0359">
        <w:rPr>
          <w:b/>
          <w:bCs/>
        </w:rPr>
        <w:t xml:space="preserve">Proposal 1: </w:t>
      </w:r>
      <w:r w:rsidRPr="003D6054">
        <w:rPr>
          <w:b/>
          <w:bCs/>
        </w:rPr>
        <w:t>RAN4 to not consider inter-cell mTRP scenario for setting the UE RRM requirement.</w:t>
      </w:r>
    </w:p>
    <w:p w14:paraId="7EA89D70" w14:textId="77777777" w:rsidR="000F6BD9" w:rsidRPr="00493472" w:rsidRDefault="000F6BD9" w:rsidP="000F6BD9">
      <w:pPr>
        <w:rPr>
          <w:b/>
          <w:bCs/>
          <w:u w:val="single"/>
          <w:lang w:val="en-US"/>
        </w:rPr>
      </w:pPr>
      <w:r>
        <w:rPr>
          <w:b/>
          <w:bCs/>
          <w:u w:val="single"/>
          <w:lang w:val="en-US"/>
        </w:rPr>
        <w:t>Conditions of UE multiple Rx-beam based DL reception</w:t>
      </w:r>
    </w:p>
    <w:p w14:paraId="33A61F6D" w14:textId="77777777" w:rsidR="0063317B" w:rsidRDefault="0063317B" w:rsidP="0063317B">
      <w:pPr>
        <w:jc w:val="both"/>
        <w:rPr>
          <w:b/>
          <w:bCs/>
        </w:rPr>
      </w:pPr>
      <w:r w:rsidRPr="006B0359">
        <w:rPr>
          <w:b/>
          <w:bCs/>
        </w:rPr>
        <w:t xml:space="preserve">Proposal </w:t>
      </w:r>
      <w:r>
        <w:rPr>
          <w:b/>
          <w:bCs/>
        </w:rPr>
        <w:t>2</w:t>
      </w:r>
      <w:r w:rsidRPr="006B0359">
        <w:rPr>
          <w:b/>
          <w:bCs/>
        </w:rPr>
        <w:t xml:space="preserve">: </w:t>
      </w:r>
      <w:r w:rsidRPr="003D6054">
        <w:rPr>
          <w:b/>
          <w:bCs/>
        </w:rPr>
        <w:t xml:space="preserve">RAN4 to not </w:t>
      </w:r>
      <w:r>
        <w:rPr>
          <w:b/>
          <w:bCs/>
        </w:rPr>
        <w:t>assume UE receives signals/channels from mTRP using simultaneously formed multiple Rx beams when any of the following conditions are not met:</w:t>
      </w:r>
    </w:p>
    <w:p w14:paraId="07105E49" w14:textId="77777777" w:rsidR="0063317B" w:rsidRPr="00F620F2" w:rsidRDefault="0063317B" w:rsidP="0063317B">
      <w:pPr>
        <w:pStyle w:val="ListParagraph"/>
        <w:numPr>
          <w:ilvl w:val="0"/>
          <w:numId w:val="44"/>
        </w:numPr>
        <w:rPr>
          <w:b/>
          <w:bCs/>
          <w:lang w:val="en-US"/>
        </w:rPr>
      </w:pPr>
      <w:r w:rsidRPr="00F620F2">
        <w:rPr>
          <w:b/>
          <w:bCs/>
          <w:lang w:val="en-US"/>
        </w:rPr>
        <w:t>UE is configured with active TCI states from two TRPs, and the association between the TCI states and the TRPs is explicitly known to the UE, i.e.</w:t>
      </w:r>
    </w:p>
    <w:p w14:paraId="19FDC727" w14:textId="77777777" w:rsidR="0063317B" w:rsidRPr="00F620F2" w:rsidRDefault="0063317B" w:rsidP="0063317B">
      <w:pPr>
        <w:pStyle w:val="ListParagraph"/>
        <w:numPr>
          <w:ilvl w:val="1"/>
          <w:numId w:val="44"/>
        </w:numPr>
        <w:rPr>
          <w:b/>
          <w:bCs/>
          <w:lang w:val="en-US"/>
        </w:rPr>
      </w:pPr>
      <w:r w:rsidRPr="00F620F2">
        <w:rPr>
          <w:b/>
          <w:bCs/>
          <w:lang w:val="en-US"/>
        </w:rPr>
        <w:t>(single DCI based mTRP) at least one of the codepoints in the active TCI list for PDSCH includes two reference resources for qcl-TypeD from respective TRPs</w:t>
      </w:r>
    </w:p>
    <w:p w14:paraId="37CDD239" w14:textId="77777777" w:rsidR="0063317B" w:rsidRPr="00F620F2" w:rsidRDefault="0063317B" w:rsidP="0063317B">
      <w:pPr>
        <w:pStyle w:val="ListParagraph"/>
        <w:numPr>
          <w:ilvl w:val="1"/>
          <w:numId w:val="44"/>
        </w:numPr>
        <w:rPr>
          <w:b/>
          <w:bCs/>
          <w:lang w:val="en-US"/>
        </w:rPr>
      </w:pPr>
      <w:r w:rsidRPr="00F620F2">
        <w:rPr>
          <w:b/>
          <w:bCs/>
          <w:lang w:val="en-US"/>
        </w:rPr>
        <w:t>(multi DCI based mTRP) two CORESETs QCL’ed with two reference resources for qcl-TypeD are configured</w:t>
      </w:r>
    </w:p>
    <w:p w14:paraId="6E06B13E" w14:textId="77777777" w:rsidR="0063317B" w:rsidRPr="00F620F2" w:rsidRDefault="0063317B" w:rsidP="0063317B">
      <w:pPr>
        <w:pStyle w:val="ListParagraph"/>
        <w:numPr>
          <w:ilvl w:val="1"/>
          <w:numId w:val="44"/>
        </w:numPr>
        <w:rPr>
          <w:b/>
          <w:bCs/>
          <w:lang w:val="en-US"/>
        </w:rPr>
      </w:pPr>
      <w:r w:rsidRPr="00F620F2">
        <w:rPr>
          <w:b/>
          <w:bCs/>
          <w:lang w:val="en-US"/>
        </w:rPr>
        <w:t>SNR &gt; XdB</w:t>
      </w:r>
      <w:r>
        <w:rPr>
          <w:b/>
          <w:bCs/>
          <w:lang w:val="en-US"/>
        </w:rPr>
        <w:t xml:space="preserve"> from each TRP</w:t>
      </w:r>
      <w:r w:rsidRPr="00F620F2">
        <w:rPr>
          <w:b/>
          <w:bCs/>
          <w:lang w:val="en-US"/>
        </w:rPr>
        <w:t xml:space="preserve">, </w:t>
      </w:r>
      <w:r>
        <w:rPr>
          <w:b/>
          <w:bCs/>
          <w:lang w:val="en-US"/>
        </w:rPr>
        <w:t xml:space="preserve">e.g. SNR regime </w:t>
      </w:r>
      <w:r w:rsidRPr="00F620F2">
        <w:rPr>
          <w:b/>
          <w:bCs/>
          <w:lang w:val="en-US"/>
        </w:rPr>
        <w:t>where rank &gt; 2 is expected</w:t>
      </w:r>
    </w:p>
    <w:p w14:paraId="11CA7DE1" w14:textId="77777777" w:rsidR="0063317B" w:rsidRDefault="0063317B" w:rsidP="0063317B">
      <w:pPr>
        <w:pStyle w:val="ListParagraph"/>
        <w:numPr>
          <w:ilvl w:val="0"/>
          <w:numId w:val="44"/>
        </w:numPr>
        <w:rPr>
          <w:b/>
          <w:bCs/>
          <w:lang w:val="en-US"/>
        </w:rPr>
      </w:pPr>
      <w:r w:rsidRPr="00F620F2">
        <w:rPr>
          <w:b/>
          <w:bCs/>
          <w:lang w:val="en-US"/>
        </w:rPr>
        <w:t>Group-based L1-RSRP measurement is configured based on L3 measurements for the same measurement resources</w:t>
      </w:r>
    </w:p>
    <w:p w14:paraId="204BD903" w14:textId="77777777" w:rsidR="0063317B" w:rsidRPr="00F620F2" w:rsidRDefault="0063317B" w:rsidP="0063317B">
      <w:pPr>
        <w:pStyle w:val="ListParagraph"/>
        <w:numPr>
          <w:ilvl w:val="0"/>
          <w:numId w:val="44"/>
        </w:numPr>
        <w:rPr>
          <w:b/>
          <w:bCs/>
          <w:lang w:val="en-US"/>
        </w:rPr>
      </w:pPr>
      <w:r>
        <w:rPr>
          <w:b/>
          <w:bCs/>
          <w:lang w:val="en-US"/>
        </w:rPr>
        <w:t>Note that the number of UE cell search engines should remain the same, irrespective of the number of active UE Rx beams.</w:t>
      </w:r>
    </w:p>
    <w:p w14:paraId="1BCCC654" w14:textId="77777777" w:rsidR="00B97D6E" w:rsidRPr="00B97D6E" w:rsidRDefault="00B97D6E" w:rsidP="00AB0A46">
      <w:pPr>
        <w:rPr>
          <w:lang w:val="en-US" w:eastAsia="en-GB"/>
        </w:rPr>
      </w:pPr>
    </w:p>
    <w:sectPr w:rsidR="00B97D6E" w:rsidRPr="00B97D6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4D20DF"/>
    <w:multiLevelType w:val="hybridMultilevel"/>
    <w:tmpl w:val="871E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9826F9"/>
    <w:multiLevelType w:val="hybridMultilevel"/>
    <w:tmpl w:val="A510003E"/>
    <w:lvl w:ilvl="0" w:tplc="C700FEAA">
      <w:start w:val="1"/>
      <w:numFmt w:val="bullet"/>
      <w:lvlText w:val="•"/>
      <w:lvlJc w:val="left"/>
      <w:pPr>
        <w:tabs>
          <w:tab w:val="num" w:pos="720"/>
        </w:tabs>
        <w:ind w:left="720" w:hanging="360"/>
      </w:pPr>
      <w:rPr>
        <w:rFonts w:ascii="Microsoft Sans Serif" w:hAnsi="Microsoft Sans Serif" w:hint="default"/>
      </w:rPr>
    </w:lvl>
    <w:lvl w:ilvl="1" w:tplc="611003EE" w:tentative="1">
      <w:start w:val="1"/>
      <w:numFmt w:val="bullet"/>
      <w:lvlText w:val="•"/>
      <w:lvlJc w:val="left"/>
      <w:pPr>
        <w:tabs>
          <w:tab w:val="num" w:pos="1440"/>
        </w:tabs>
        <w:ind w:left="1440" w:hanging="360"/>
      </w:pPr>
      <w:rPr>
        <w:rFonts w:ascii="Microsoft Sans Serif" w:hAnsi="Microsoft Sans Serif" w:hint="default"/>
      </w:rPr>
    </w:lvl>
    <w:lvl w:ilvl="2" w:tplc="2A6CFEAC">
      <w:start w:val="1"/>
      <w:numFmt w:val="bullet"/>
      <w:lvlText w:val="•"/>
      <w:lvlJc w:val="left"/>
      <w:pPr>
        <w:tabs>
          <w:tab w:val="num" w:pos="2160"/>
        </w:tabs>
        <w:ind w:left="2160" w:hanging="360"/>
      </w:pPr>
      <w:rPr>
        <w:rFonts w:ascii="Microsoft Sans Serif" w:hAnsi="Microsoft Sans Serif" w:hint="default"/>
      </w:rPr>
    </w:lvl>
    <w:lvl w:ilvl="3" w:tplc="92A659F0">
      <w:numFmt w:val="bullet"/>
      <w:lvlText w:val="o"/>
      <w:lvlJc w:val="left"/>
      <w:pPr>
        <w:tabs>
          <w:tab w:val="num" w:pos="2880"/>
        </w:tabs>
        <w:ind w:left="2880" w:hanging="360"/>
      </w:pPr>
      <w:rPr>
        <w:rFonts w:ascii="Courier New" w:hAnsi="Courier New" w:hint="default"/>
      </w:rPr>
    </w:lvl>
    <w:lvl w:ilvl="4" w:tplc="E7764B48" w:tentative="1">
      <w:start w:val="1"/>
      <w:numFmt w:val="bullet"/>
      <w:lvlText w:val="•"/>
      <w:lvlJc w:val="left"/>
      <w:pPr>
        <w:tabs>
          <w:tab w:val="num" w:pos="3600"/>
        </w:tabs>
        <w:ind w:left="3600" w:hanging="360"/>
      </w:pPr>
      <w:rPr>
        <w:rFonts w:ascii="Microsoft Sans Serif" w:hAnsi="Microsoft Sans Serif" w:hint="default"/>
      </w:rPr>
    </w:lvl>
    <w:lvl w:ilvl="5" w:tplc="58263B70" w:tentative="1">
      <w:start w:val="1"/>
      <w:numFmt w:val="bullet"/>
      <w:lvlText w:val="•"/>
      <w:lvlJc w:val="left"/>
      <w:pPr>
        <w:tabs>
          <w:tab w:val="num" w:pos="4320"/>
        </w:tabs>
        <w:ind w:left="4320" w:hanging="360"/>
      </w:pPr>
      <w:rPr>
        <w:rFonts w:ascii="Microsoft Sans Serif" w:hAnsi="Microsoft Sans Serif" w:hint="default"/>
      </w:rPr>
    </w:lvl>
    <w:lvl w:ilvl="6" w:tplc="837A4E1A" w:tentative="1">
      <w:start w:val="1"/>
      <w:numFmt w:val="bullet"/>
      <w:lvlText w:val="•"/>
      <w:lvlJc w:val="left"/>
      <w:pPr>
        <w:tabs>
          <w:tab w:val="num" w:pos="5040"/>
        </w:tabs>
        <w:ind w:left="5040" w:hanging="360"/>
      </w:pPr>
      <w:rPr>
        <w:rFonts w:ascii="Microsoft Sans Serif" w:hAnsi="Microsoft Sans Serif" w:hint="default"/>
      </w:rPr>
    </w:lvl>
    <w:lvl w:ilvl="7" w:tplc="95F8C04A" w:tentative="1">
      <w:start w:val="1"/>
      <w:numFmt w:val="bullet"/>
      <w:lvlText w:val="•"/>
      <w:lvlJc w:val="left"/>
      <w:pPr>
        <w:tabs>
          <w:tab w:val="num" w:pos="5760"/>
        </w:tabs>
        <w:ind w:left="5760" w:hanging="360"/>
      </w:pPr>
      <w:rPr>
        <w:rFonts w:ascii="Microsoft Sans Serif" w:hAnsi="Microsoft Sans Serif" w:hint="default"/>
      </w:rPr>
    </w:lvl>
    <w:lvl w:ilvl="8" w:tplc="4E72E4CC"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5362294"/>
    <w:multiLevelType w:val="hybridMultilevel"/>
    <w:tmpl w:val="63343E6C"/>
    <w:lvl w:ilvl="0" w:tplc="08F64628">
      <w:start w:val="1"/>
      <w:numFmt w:val="bullet"/>
      <w:lvlText w:val="•"/>
      <w:lvlJc w:val="left"/>
      <w:pPr>
        <w:tabs>
          <w:tab w:val="num" w:pos="360"/>
        </w:tabs>
        <w:ind w:left="360" w:hanging="360"/>
      </w:pPr>
      <w:rPr>
        <w:rFonts w:ascii="Arial" w:hAnsi="Arial" w:hint="default"/>
      </w:rPr>
    </w:lvl>
    <w:lvl w:ilvl="1" w:tplc="EC28429C">
      <w:numFmt w:val="bullet"/>
      <w:lvlText w:val="•"/>
      <w:lvlJc w:val="left"/>
      <w:pPr>
        <w:tabs>
          <w:tab w:val="num" w:pos="1080"/>
        </w:tabs>
        <w:ind w:left="1080" w:hanging="360"/>
      </w:pPr>
      <w:rPr>
        <w:rFonts w:ascii="Arial" w:hAnsi="Arial" w:hint="default"/>
      </w:rPr>
    </w:lvl>
    <w:lvl w:ilvl="2" w:tplc="EB0CB4F0">
      <w:numFmt w:val="bullet"/>
      <w:lvlText w:val="•"/>
      <w:lvlJc w:val="left"/>
      <w:pPr>
        <w:tabs>
          <w:tab w:val="num" w:pos="1800"/>
        </w:tabs>
        <w:ind w:left="1800" w:hanging="360"/>
      </w:pPr>
      <w:rPr>
        <w:rFonts w:ascii="Arial" w:hAnsi="Arial" w:hint="default"/>
      </w:rPr>
    </w:lvl>
    <w:lvl w:ilvl="3" w:tplc="F98CFCE2">
      <w:numFmt w:val="bullet"/>
      <w:lvlText w:val="–"/>
      <w:lvlJc w:val="left"/>
      <w:pPr>
        <w:tabs>
          <w:tab w:val="num" w:pos="2520"/>
        </w:tabs>
        <w:ind w:left="2520" w:hanging="360"/>
      </w:pPr>
      <w:rPr>
        <w:rFonts w:ascii="Arial" w:hAnsi="Arial" w:hint="default"/>
      </w:rPr>
    </w:lvl>
    <w:lvl w:ilvl="4" w:tplc="00180142">
      <w:numFmt w:val="bullet"/>
      <w:lvlText w:val="»"/>
      <w:lvlJc w:val="left"/>
      <w:pPr>
        <w:tabs>
          <w:tab w:val="num" w:pos="3240"/>
        </w:tabs>
        <w:ind w:left="3240" w:hanging="360"/>
      </w:pPr>
      <w:rPr>
        <w:rFonts w:ascii="Arial" w:hAnsi="Arial" w:hint="default"/>
      </w:rPr>
    </w:lvl>
    <w:lvl w:ilvl="5" w:tplc="7FAA3DCA" w:tentative="1">
      <w:start w:val="1"/>
      <w:numFmt w:val="bullet"/>
      <w:lvlText w:val="•"/>
      <w:lvlJc w:val="left"/>
      <w:pPr>
        <w:tabs>
          <w:tab w:val="num" w:pos="3960"/>
        </w:tabs>
        <w:ind w:left="3960" w:hanging="360"/>
      </w:pPr>
      <w:rPr>
        <w:rFonts w:ascii="Arial" w:hAnsi="Arial" w:hint="default"/>
      </w:rPr>
    </w:lvl>
    <w:lvl w:ilvl="6" w:tplc="F27C4396" w:tentative="1">
      <w:start w:val="1"/>
      <w:numFmt w:val="bullet"/>
      <w:lvlText w:val="•"/>
      <w:lvlJc w:val="left"/>
      <w:pPr>
        <w:tabs>
          <w:tab w:val="num" w:pos="4680"/>
        </w:tabs>
        <w:ind w:left="4680" w:hanging="360"/>
      </w:pPr>
      <w:rPr>
        <w:rFonts w:ascii="Arial" w:hAnsi="Arial" w:hint="default"/>
      </w:rPr>
    </w:lvl>
    <w:lvl w:ilvl="7" w:tplc="20409A58" w:tentative="1">
      <w:start w:val="1"/>
      <w:numFmt w:val="bullet"/>
      <w:lvlText w:val="•"/>
      <w:lvlJc w:val="left"/>
      <w:pPr>
        <w:tabs>
          <w:tab w:val="num" w:pos="5400"/>
        </w:tabs>
        <w:ind w:left="5400" w:hanging="360"/>
      </w:pPr>
      <w:rPr>
        <w:rFonts w:ascii="Arial" w:hAnsi="Arial" w:hint="default"/>
      </w:rPr>
    </w:lvl>
    <w:lvl w:ilvl="8" w:tplc="C05C036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9"/>
  </w:num>
  <w:num w:numId="2" w16cid:durableId="1818299601">
    <w:abstractNumId w:val="44"/>
  </w:num>
  <w:num w:numId="3" w16cid:durableId="822310547">
    <w:abstractNumId w:val="25"/>
  </w:num>
  <w:num w:numId="4" w16cid:durableId="1022324696">
    <w:abstractNumId w:val="12"/>
  </w:num>
  <w:num w:numId="5" w16cid:durableId="1224174323">
    <w:abstractNumId w:val="3"/>
  </w:num>
  <w:num w:numId="6" w16cid:durableId="789395670">
    <w:abstractNumId w:val="37"/>
  </w:num>
  <w:num w:numId="7" w16cid:durableId="1395664146">
    <w:abstractNumId w:val="13"/>
  </w:num>
  <w:num w:numId="8" w16cid:durableId="1404523643">
    <w:abstractNumId w:val="21"/>
  </w:num>
  <w:num w:numId="9" w16cid:durableId="543058064">
    <w:abstractNumId w:val="45"/>
  </w:num>
  <w:num w:numId="10" w16cid:durableId="185564226">
    <w:abstractNumId w:val="42"/>
  </w:num>
  <w:num w:numId="11" w16cid:durableId="165559958">
    <w:abstractNumId w:val="41"/>
  </w:num>
  <w:num w:numId="12" w16cid:durableId="1653867933">
    <w:abstractNumId w:val="6"/>
  </w:num>
  <w:num w:numId="13" w16cid:durableId="2048480466">
    <w:abstractNumId w:val="16"/>
  </w:num>
  <w:num w:numId="14" w16cid:durableId="123162328">
    <w:abstractNumId w:val="19"/>
  </w:num>
  <w:num w:numId="15" w16cid:durableId="311373112">
    <w:abstractNumId w:val="34"/>
  </w:num>
  <w:num w:numId="16" w16cid:durableId="1054475442">
    <w:abstractNumId w:val="20"/>
  </w:num>
  <w:num w:numId="17" w16cid:durableId="1069427642">
    <w:abstractNumId w:val="32"/>
  </w:num>
  <w:num w:numId="18" w16cid:durableId="1874415200">
    <w:abstractNumId w:val="30"/>
  </w:num>
  <w:num w:numId="19" w16cid:durableId="228931519">
    <w:abstractNumId w:val="38"/>
  </w:num>
  <w:num w:numId="20" w16cid:durableId="1723091846">
    <w:abstractNumId w:val="9"/>
  </w:num>
  <w:num w:numId="21" w16cid:durableId="241762332">
    <w:abstractNumId w:val="23"/>
  </w:num>
  <w:num w:numId="22" w16cid:durableId="1273628953">
    <w:abstractNumId w:val="2"/>
  </w:num>
  <w:num w:numId="23" w16cid:durableId="1433016067">
    <w:abstractNumId w:val="40"/>
  </w:num>
  <w:num w:numId="24" w16cid:durableId="289214236">
    <w:abstractNumId w:val="27"/>
  </w:num>
  <w:num w:numId="25" w16cid:durableId="1140422469">
    <w:abstractNumId w:val="11"/>
  </w:num>
  <w:num w:numId="26" w16cid:durableId="906961042">
    <w:abstractNumId w:val="7"/>
  </w:num>
  <w:num w:numId="27" w16cid:durableId="2135365669">
    <w:abstractNumId w:val="18"/>
  </w:num>
  <w:num w:numId="28" w16cid:durableId="1381174842">
    <w:abstractNumId w:val="15"/>
  </w:num>
  <w:num w:numId="29" w16cid:durableId="954601300">
    <w:abstractNumId w:val="36"/>
  </w:num>
  <w:num w:numId="30" w16cid:durableId="858661157">
    <w:abstractNumId w:val="22"/>
  </w:num>
  <w:num w:numId="31" w16cid:durableId="825365161">
    <w:abstractNumId w:val="0"/>
  </w:num>
  <w:num w:numId="32" w16cid:durableId="543760627">
    <w:abstractNumId w:val="33"/>
  </w:num>
  <w:num w:numId="33" w16cid:durableId="2011131162">
    <w:abstractNumId w:val="31"/>
  </w:num>
  <w:num w:numId="34" w16cid:durableId="1756516340">
    <w:abstractNumId w:val="24"/>
  </w:num>
  <w:num w:numId="35" w16cid:durableId="1568110023">
    <w:abstractNumId w:val="43"/>
  </w:num>
  <w:num w:numId="36" w16cid:durableId="1725369227">
    <w:abstractNumId w:val="5"/>
  </w:num>
  <w:num w:numId="37" w16cid:durableId="302932881">
    <w:abstractNumId w:val="26"/>
  </w:num>
  <w:num w:numId="38" w16cid:durableId="1562060984">
    <w:abstractNumId w:val="1"/>
  </w:num>
  <w:num w:numId="39" w16cid:durableId="1576549665">
    <w:abstractNumId w:val="4"/>
  </w:num>
  <w:num w:numId="40" w16cid:durableId="66003381">
    <w:abstractNumId w:val="29"/>
  </w:num>
  <w:num w:numId="41" w16cid:durableId="384527307">
    <w:abstractNumId w:val="17"/>
  </w:num>
  <w:num w:numId="42" w16cid:durableId="371542348">
    <w:abstractNumId w:val="8"/>
  </w:num>
  <w:num w:numId="43" w16cid:durableId="1866402104">
    <w:abstractNumId w:val="28"/>
  </w:num>
  <w:num w:numId="44" w16cid:durableId="2122722050">
    <w:abstractNumId w:val="14"/>
  </w:num>
  <w:num w:numId="45" w16cid:durableId="322663014">
    <w:abstractNumId w:val="35"/>
  </w:num>
  <w:num w:numId="46" w16cid:durableId="13075714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2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5A5"/>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BD9"/>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A4F"/>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1EE"/>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054"/>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0DF2"/>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72"/>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81A"/>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144"/>
    <w:rsid w:val="0053768D"/>
    <w:rsid w:val="005378AE"/>
    <w:rsid w:val="00537F2E"/>
    <w:rsid w:val="00537F98"/>
    <w:rsid w:val="0054008E"/>
    <w:rsid w:val="005403D8"/>
    <w:rsid w:val="00540AD9"/>
    <w:rsid w:val="00540F63"/>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17B"/>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C92"/>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AEF"/>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A7AC6"/>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D7D6F"/>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6"/>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0B4E"/>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90F"/>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2F0"/>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2EB5"/>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A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97D6E"/>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AB2"/>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9EF"/>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94B"/>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0F2"/>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AE0"/>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11958262">
      <w:bodyDiv w:val="1"/>
      <w:marLeft w:val="0"/>
      <w:marRight w:val="0"/>
      <w:marTop w:val="0"/>
      <w:marBottom w:val="0"/>
      <w:divBdr>
        <w:top w:val="none" w:sz="0" w:space="0" w:color="auto"/>
        <w:left w:val="none" w:sz="0" w:space="0" w:color="auto"/>
        <w:bottom w:val="none" w:sz="0" w:space="0" w:color="auto"/>
        <w:right w:val="none" w:sz="0" w:space="0" w:color="auto"/>
      </w:divBdr>
      <w:divsChild>
        <w:div w:id="1479565606">
          <w:marLeft w:val="547"/>
          <w:marRight w:val="0"/>
          <w:marTop w:val="0"/>
          <w:marBottom w:val="0"/>
          <w:divBdr>
            <w:top w:val="none" w:sz="0" w:space="0" w:color="auto"/>
            <w:left w:val="none" w:sz="0" w:space="0" w:color="auto"/>
            <w:bottom w:val="none" w:sz="0" w:space="0" w:color="auto"/>
            <w:right w:val="none" w:sz="0" w:space="0" w:color="auto"/>
          </w:divBdr>
        </w:div>
        <w:div w:id="2113478780">
          <w:marLeft w:val="1166"/>
          <w:marRight w:val="0"/>
          <w:marTop w:val="0"/>
          <w:marBottom w:val="0"/>
          <w:divBdr>
            <w:top w:val="none" w:sz="0" w:space="0" w:color="auto"/>
            <w:left w:val="none" w:sz="0" w:space="0" w:color="auto"/>
            <w:bottom w:val="none" w:sz="0" w:space="0" w:color="auto"/>
            <w:right w:val="none" w:sz="0" w:space="0" w:color="auto"/>
          </w:divBdr>
        </w:div>
        <w:div w:id="2042970335">
          <w:marLeft w:val="1800"/>
          <w:marRight w:val="0"/>
          <w:marTop w:val="0"/>
          <w:marBottom w:val="0"/>
          <w:divBdr>
            <w:top w:val="none" w:sz="0" w:space="0" w:color="auto"/>
            <w:left w:val="none" w:sz="0" w:space="0" w:color="auto"/>
            <w:bottom w:val="none" w:sz="0" w:space="0" w:color="auto"/>
            <w:right w:val="none" w:sz="0" w:space="0" w:color="auto"/>
          </w:divBdr>
        </w:div>
        <w:div w:id="105468661">
          <w:marLeft w:val="2520"/>
          <w:marRight w:val="0"/>
          <w:marTop w:val="0"/>
          <w:marBottom w:val="0"/>
          <w:divBdr>
            <w:top w:val="none" w:sz="0" w:space="0" w:color="auto"/>
            <w:left w:val="none" w:sz="0" w:space="0" w:color="auto"/>
            <w:bottom w:val="none" w:sz="0" w:space="0" w:color="auto"/>
            <w:right w:val="none" w:sz="0" w:space="0" w:color="auto"/>
          </w:divBdr>
        </w:div>
        <w:div w:id="30308301">
          <w:marLeft w:val="2520"/>
          <w:marRight w:val="0"/>
          <w:marTop w:val="0"/>
          <w:marBottom w:val="0"/>
          <w:divBdr>
            <w:top w:val="none" w:sz="0" w:space="0" w:color="auto"/>
            <w:left w:val="none" w:sz="0" w:space="0" w:color="auto"/>
            <w:bottom w:val="none" w:sz="0" w:space="0" w:color="auto"/>
            <w:right w:val="none" w:sz="0" w:space="0" w:color="auto"/>
          </w:divBdr>
        </w:div>
        <w:div w:id="218247686">
          <w:marLeft w:val="3240"/>
          <w:marRight w:val="0"/>
          <w:marTop w:val="0"/>
          <w:marBottom w:val="0"/>
          <w:divBdr>
            <w:top w:val="none" w:sz="0" w:space="0" w:color="auto"/>
            <w:left w:val="none" w:sz="0" w:space="0" w:color="auto"/>
            <w:bottom w:val="none" w:sz="0" w:space="0" w:color="auto"/>
            <w:right w:val="none" w:sz="0" w:space="0" w:color="auto"/>
          </w:divBdr>
        </w:div>
        <w:div w:id="66003123">
          <w:marLeft w:val="2520"/>
          <w:marRight w:val="0"/>
          <w:marTop w:val="0"/>
          <w:marBottom w:val="0"/>
          <w:divBdr>
            <w:top w:val="none" w:sz="0" w:space="0" w:color="auto"/>
            <w:left w:val="none" w:sz="0" w:space="0" w:color="auto"/>
            <w:bottom w:val="none" w:sz="0" w:space="0" w:color="auto"/>
            <w:right w:val="none" w:sz="0" w:space="0" w:color="auto"/>
          </w:divBdr>
        </w:div>
        <w:div w:id="319189216">
          <w:marLeft w:val="2520"/>
          <w:marRight w:val="0"/>
          <w:marTop w:val="0"/>
          <w:marBottom w:val="0"/>
          <w:divBdr>
            <w:top w:val="none" w:sz="0" w:space="0" w:color="auto"/>
            <w:left w:val="none" w:sz="0" w:space="0" w:color="auto"/>
            <w:bottom w:val="none" w:sz="0" w:space="0" w:color="auto"/>
            <w:right w:val="none" w:sz="0" w:space="0" w:color="auto"/>
          </w:divBdr>
        </w:div>
        <w:div w:id="1776248857">
          <w:marLeft w:val="2520"/>
          <w:marRight w:val="0"/>
          <w:marTop w:val="0"/>
          <w:marBottom w:val="0"/>
          <w:divBdr>
            <w:top w:val="none" w:sz="0" w:space="0" w:color="auto"/>
            <w:left w:val="none" w:sz="0" w:space="0" w:color="auto"/>
            <w:bottom w:val="none" w:sz="0" w:space="0" w:color="auto"/>
            <w:right w:val="none" w:sz="0" w:space="0" w:color="auto"/>
          </w:divBdr>
        </w:div>
        <w:div w:id="847671513">
          <w:marLeft w:val="2520"/>
          <w:marRight w:val="0"/>
          <w:marTop w:val="0"/>
          <w:marBottom w:val="0"/>
          <w:divBdr>
            <w:top w:val="none" w:sz="0" w:space="0" w:color="auto"/>
            <w:left w:val="none" w:sz="0" w:space="0" w:color="auto"/>
            <w:bottom w:val="none" w:sz="0" w:space="0" w:color="auto"/>
            <w:right w:val="none" w:sz="0" w:space="0" w:color="auto"/>
          </w:divBdr>
        </w:div>
      </w:divsChild>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74781519">
      <w:bodyDiv w:val="1"/>
      <w:marLeft w:val="0"/>
      <w:marRight w:val="0"/>
      <w:marTop w:val="0"/>
      <w:marBottom w:val="0"/>
      <w:divBdr>
        <w:top w:val="none" w:sz="0" w:space="0" w:color="auto"/>
        <w:left w:val="none" w:sz="0" w:space="0" w:color="auto"/>
        <w:bottom w:val="none" w:sz="0" w:space="0" w:color="auto"/>
        <w:right w:val="none" w:sz="0" w:space="0" w:color="auto"/>
      </w:divBdr>
      <w:divsChild>
        <w:div w:id="915238449">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1994218502">
      <w:bodyDiv w:val="1"/>
      <w:marLeft w:val="0"/>
      <w:marRight w:val="0"/>
      <w:marTop w:val="0"/>
      <w:marBottom w:val="0"/>
      <w:divBdr>
        <w:top w:val="none" w:sz="0" w:space="0" w:color="auto"/>
        <w:left w:val="none" w:sz="0" w:space="0" w:color="auto"/>
        <w:bottom w:val="none" w:sz="0" w:space="0" w:color="auto"/>
        <w:right w:val="none" w:sz="0" w:space="0" w:color="auto"/>
      </w:divBdr>
      <w:divsChild>
        <w:div w:id="1081878977">
          <w:marLeft w:val="821"/>
          <w:marRight w:val="0"/>
          <w:marTop w:val="0"/>
          <w:marBottom w:val="0"/>
          <w:divBdr>
            <w:top w:val="none" w:sz="0" w:space="0" w:color="auto"/>
            <w:left w:val="none" w:sz="0" w:space="0" w:color="auto"/>
            <w:bottom w:val="none" w:sz="0" w:space="0" w:color="auto"/>
            <w:right w:val="none" w:sz="0" w:space="0" w:color="auto"/>
          </w:divBdr>
        </w:div>
        <w:div w:id="740257580">
          <w:marLeft w:val="1080"/>
          <w:marRight w:val="0"/>
          <w:marTop w:val="0"/>
          <w:marBottom w:val="0"/>
          <w:divBdr>
            <w:top w:val="none" w:sz="0" w:space="0" w:color="auto"/>
            <w:left w:val="none" w:sz="0" w:space="0" w:color="auto"/>
            <w:bottom w:val="none" w:sz="0" w:space="0" w:color="auto"/>
            <w:right w:val="none" w:sz="0" w:space="0" w:color="auto"/>
          </w:divBdr>
        </w:div>
        <w:div w:id="1506896345">
          <w:marLeft w:val="1080"/>
          <w:marRight w:val="0"/>
          <w:marTop w:val="0"/>
          <w:marBottom w:val="0"/>
          <w:divBdr>
            <w:top w:val="none" w:sz="0" w:space="0" w:color="auto"/>
            <w:left w:val="none" w:sz="0" w:space="0" w:color="auto"/>
            <w:bottom w:val="none" w:sz="0" w:space="0" w:color="auto"/>
            <w:right w:val="none" w:sz="0" w:space="0" w:color="auto"/>
          </w:divBdr>
        </w:div>
        <w:div w:id="843278836">
          <w:marLeft w:val="1080"/>
          <w:marRight w:val="0"/>
          <w:marTop w:val="0"/>
          <w:marBottom w:val="0"/>
          <w:divBdr>
            <w:top w:val="none" w:sz="0" w:space="0" w:color="auto"/>
            <w:left w:val="none" w:sz="0" w:space="0" w:color="auto"/>
            <w:bottom w:val="none" w:sz="0" w:space="0" w:color="auto"/>
            <w:right w:val="none" w:sz="0" w:space="0" w:color="auto"/>
          </w:divBdr>
        </w:div>
        <w:div w:id="1105804082">
          <w:marLeft w:val="821"/>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8923</TotalTime>
  <Pages>2</Pages>
  <Words>681</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Athens, Greece, February 27 – March 3, 2022</vt:lpstr>
      <vt:lpstr>Introduction</vt:lpstr>
      <vt:lpstr>Discussion</vt:lpstr>
      <vt:lpstr>Conclusions</vt:lpstr>
    </vt:vector>
  </TitlesOfParts>
  <Company>Qualcomm</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586</cp:revision>
  <cp:lastPrinted>2022-09-27T22:38:00Z</cp:lastPrinted>
  <dcterms:created xsi:type="dcterms:W3CDTF">2022-08-08T20:12:00Z</dcterms:created>
  <dcterms:modified xsi:type="dcterms:W3CDTF">2023-02-17T22:01:00Z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